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c67cf58124a4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19749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UČENIČKI DOM KARLOVAC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928.930,26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1.001.238,77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912.978,61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1.079.012,89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77.774,12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49.571,25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6.622,89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49.571,25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6.622,89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33.619,60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84.397,01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251,0</w:t>
            </w:r>
          </w:p>
        </w:tc>
      </w:tr>
    </w:tbl>
    <w:p>
      <w:pPr>
        <w:spacing w:before="0" w:after="0"/>
      </w:pPr>
    </w:p>
    <w:p>
      <w:r>
        <w:t xml:space="preserve">Ostvareni ukupni prihodi za period 01-12/25. g. iznose 1.001.238,77 eura. što je za 7,8% više u odnosu na isti period 2024. g. obrazloženje povećanja objašnjeno je u nastavku. Rashodi za period 01-12/25. g. 1.085.635,78 eura, što je za 12,8% više u odnosu na isti period 2024. g. Obrazloženje povećanja objašnjeno je u nastavku. Ostvaren je manjak prihoda nad rashodima za period 01-12/25. g., u iznosu od 84.397,01 eura, a sastoji se od manjka od redovnog poslovanja od 77.774,12 eura ia manjka prihoda od nefinancijske imovine u iznosu od 6.622,89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928.930,26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1.001.238,77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Ukupni prihodi u odnosu na 2024. g. veći su za 7,8%, i to kako slijedi:</w:t>
      </w:r>
    </w:p>
    <w:p>
      <w:pPr>
        <w:pStyle w:val="ListParagraph"/>
        <w:numPr>
          <w:ilvl w:val="0"/>
          <w:numId w:val="2"/>
        </w:numPr>
      </w:pPr>
      <w:r>
        <w:t xml:space="preserve">prihodi od Ministarstva znanosti, obrazovanja i mladih, za isplatu plaća i naknada zaposlenima, veći su za 11,6%, zbog povećanja osnovice za plaću i isplate većeg broja naknada zaposlenicima,</w:t>
      </w:r>
    </w:p>
    <w:p>
      <w:pPr>
        <w:pStyle w:val="ListParagraph"/>
        <w:numPr>
          <w:ilvl w:val="0"/>
          <w:numId w:val="2"/>
        </w:numPr>
      </w:pPr>
      <w:r>
        <w:t xml:space="preserve">prihodi od uplate učenika, nešto su manji u odnosu na prošlu godinu, iznose 95,4%, što ovisi o dinamici uplate roditelja</w:t>
      </w:r>
    </w:p>
    <w:p>
      <w:pPr>
        <w:pStyle w:val="ListParagraph"/>
        <w:numPr>
          <w:ilvl w:val="0"/>
          <w:numId w:val="2"/>
        </w:numPr>
      </w:pPr>
      <w:r>
        <w:t xml:space="preserve">indeks vlastitih prihoda iznosi 592,6, jer smo u ovoj godini imali prihode od smještaja sudionika  erasmus projekta,</w:t>
      </w:r>
    </w:p>
    <w:p>
      <w:pPr>
        <w:pStyle w:val="ListParagraph"/>
        <w:numPr>
          <w:ilvl w:val="0"/>
          <w:numId w:val="2"/>
        </w:numPr>
      </w:pPr>
      <w:r>
        <w:t xml:space="preserve">prihodi od osnivača, karlovačke županije, veći su u odnosu na prošlu godinu za 3,9%, zbog realizacije iznosa hitnih intervencija, u iznosu od 10.000,00 eura, koje su odobrene za potrebne radove na povećanju sigurnosti ulaska i izlaska iz Učeničkog doma.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912.978,61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1.079.012,89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Ukupni rashodi veći su za 18,2% u odnosu na 2024. g. i to kako slijedi:</w:t>
      </w:r>
    </w:p>
    <w:p>
      <w:pPr>
        <w:pStyle w:val="ListParagraph"/>
        <w:numPr>
          <w:ilvl w:val="0"/>
          <w:numId w:val="2"/>
        </w:numPr>
      </w:pPr>
      <w:r>
        <w:t xml:space="preserve">rashodi za zaposlene - veći su za 21,3%, zbog povećanja osnovice plaće i većeg broja zaposlenih, odnosno zamjena za bolovanja i većeg iznosa isplaćenih materijalnih prava, pogotovo otpremnina</w:t>
      </w:r>
    </w:p>
    <w:p>
      <w:pPr>
        <w:pStyle w:val="ListParagraph"/>
        <w:numPr>
          <w:ilvl w:val="0"/>
          <w:numId w:val="2"/>
        </w:numPr>
      </w:pPr>
      <w:r>
        <w:t xml:space="preserve">materijalni rashodi - veći su za 8,0%, i to zbog većih troškova službenih putovanja, financijski i količinski, rashoda za materijal i energiju, zbog smanjenja učešća umanjenja troškova električne enerije na temelju Uredbe Vlade RH i veće su usluge tekućeg i investicijskog održavanja građevinskih objekata i opreme, jer smo ulagali u veću sigurnost ulaska i izlaska iz zgrade Doma</w:t>
      </w:r>
    </w:p>
    <w:p>
      <w:pPr>
        <w:pStyle w:val="ListParagraph"/>
        <w:numPr>
          <w:ilvl w:val="0"/>
          <w:numId w:val="2"/>
        </w:numPr>
      </w:pPr>
      <w:r>
        <w:t xml:space="preserve">rashodi za usluge - veći su za 1,7%, odnosno na nivou su 2024. g., osim zdravstvenih usluga, jer smo u 2025. g. imali sistematske preglede, a u 2024. g. nismo, </w:t>
      </w:r>
    </w:p>
    <w:p>
      <w:pPr>
        <w:pStyle w:val="ListParagraph"/>
        <w:numPr>
          <w:ilvl w:val="0"/>
          <w:numId w:val="2"/>
        </w:numPr>
      </w:pPr>
      <w:r>
        <w:t xml:space="preserve">ostali rashodi poslovanja - na nivou su 2024. 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33.619,60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84.397,01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251,0</w:t>
            </w:r>
          </w:p>
        </w:tc>
      </w:tr>
    </w:tbl>
    <w:p>
      <w:pPr>
        <w:spacing w:before="0" w:after="0"/>
      </w:pPr>
    </w:p>
    <w:p>
      <w:r>
        <w:t xml:space="preserve">OBRAZLOŽENJE REZULTATA PO ZAVRŠNOM RAČUNU ZA 2025. G.</w:t>
      </w:r>
    </w:p>
    <w:p>
      <w:r>
        <w:t xml:space="preserve"> </w:t>
      </w:r>
    </w:p>
    <w:p>
      <w:r>
        <w:t xml:space="preserve">Kako je vidljivo iz rekapitulacije realizacije Financijskog plana za 2025. g., ostvareni su prihodi i rashodi kako slijedi:</w:t>
      </w:r>
    </w:p>
    <w:p>
      <w:r>
        <w:t xml:space="preserve">IZVOR 50115 – DRŽAVNI PRORAČUN: PRIHODI – 687.528,69 EUR</w:t>
      </w:r>
    </w:p>
    <w:p>
      <w:r>
        <w:t xml:space="preserve">                                                                   RASHODI – 619.342,52 EUR</w:t>
      </w:r>
    </w:p>
    <w:p>
      <w:r>
        <w:t xml:space="preserve">                                                                   MANJAK –     60.797,90 EUR</w:t>
      </w:r>
    </w:p>
    <w:p>
      <w:r>
        <w:t xml:space="preserve">Prihodi su manji od  rashoda, za iznos plaće za 12/2025, te je iskazan manjak po ovom izvoru, u iznosu od 60.797,90 eura.</w:t>
      </w:r>
    </w:p>
    <w:p>
      <w:r>
        <w:t xml:space="preserve"> </w:t>
      </w:r>
    </w:p>
    <w:p>
      <w:r>
        <w:t xml:space="preserve">IZVOR 432 – UPLATA UČENIKA: PRIHODI  - 124.602,90 EUR</w:t>
      </w:r>
    </w:p>
    <w:p>
      <w:r>
        <w:t xml:space="preserve">                                                         RASHODI – 110.197,60 EUR</w:t>
      </w:r>
    </w:p>
    <w:p>
      <w:r>
        <w:t xml:space="preserve">RASHODI PLAĆENI VIŠKOM ZA          -             11.769,85 EUR</w:t>
      </w:r>
    </w:p>
    <w:p>
      <w:r>
        <w:t xml:space="preserve">NEFINANCIJSKU IMOVINU I INV.ODRŽ.</w:t>
      </w:r>
    </w:p>
    <w:p>
      <w:r>
        <w:t xml:space="preserve">GRAĐ. OBJEKATA</w:t>
      </w:r>
    </w:p>
    <w:p>
      <w:r>
        <w:t xml:space="preserve">UKUPNI VIŠAK                                               2.635,45 EUR</w:t>
      </w:r>
    </w:p>
    <w:p>
      <w:r>
        <w:t xml:space="preserve">Ostvaren je višak prihoda nad rashodima po redovnom poslovanju, od uplate učenika, u iznosu od 14.405,30 eura i manjak od nefinancijske imovine od 5.866,55 eura, koji je planiran iz  viška prihoda nad rashodima iz prijašnjih godine, koji je planiran u iznosu od 14.509,00 eura, te je ukupni višak iznosi  2.635,45 eura.</w:t>
      </w:r>
    </w:p>
    <w:p>
      <w:r>
        <w:t xml:space="preserve"> </w:t>
      </w:r>
    </w:p>
    <w:p>
      <w:r>
        <w:t xml:space="preserve">IZVOR 31 -  VLASTITI PRIHODI: PRIHODI – 18.444,77 EUR</w:t>
      </w:r>
    </w:p>
    <w:p>
      <w:r>
        <w:t xml:space="preserve">                                                       RASHODI -  12.914,18 EUR</w:t>
      </w:r>
    </w:p>
    <w:p>
      <w:r>
        <w:t xml:space="preserve">                                                        VIŠAK -          5.530,59 EUR</w:t>
      </w:r>
    </w:p>
    <w:p>
      <w:r>
        <w:t xml:space="preserve">Ostvareni višak prihoda nad rashodima za 2025. g.,  u iznosu od 5.530,59 eura. Preneseni višak prihoda nad rashodima iz 2024. g. iznosi 8.154,00 eura, te je ukupni višak za prijenos u 2026. g., 13.684,59 eura.</w:t>
      </w:r>
    </w:p>
    <w:p>
      <w:r>
        <w:t xml:space="preserve">IZVOR 50 – ŽUPANIJSKI PRORAČUN: PRIHODI – 166.232,41 EUR</w:t>
      </w:r>
    </w:p>
    <w:p>
      <w:r>
        <w:t xml:space="preserve">                                                                RASHODI – 166.503,34 EUR</w:t>
      </w:r>
    </w:p>
    <w:p>
      <w:r>
        <w:t xml:space="preserve">                                                                 MANJAK -    270,93 EUR</w:t>
      </w:r>
    </w:p>
    <w:p>
      <w:r>
        <w:t xml:space="preserve">Manjak prihoda nad rashodima, od Županijskih uplata, iznosi 270,93 eura, i odnosi se na račune knjižene u 2025. g., a plaćene u 2026. g., odnosno to je metodološki manjak.</w:t>
      </w:r>
    </w:p>
    <w:p>
      <w:r>
        <w:t xml:space="preserve"> </w:t>
      </w:r>
    </w:p>
    <w:p>
      <w:r>
        <w:t xml:space="preserve">IZVOR 11– ŽUPANIJSKI PRORAČUN: PRIHODI – 800,00 EUR</w:t>
      </w:r>
    </w:p>
    <w:p>
      <w:r>
        <w:t xml:space="preserve">                                                                RASHODI – 800,00 EUR</w:t>
      </w:r>
    </w:p>
    <w:p>
      <w:r>
        <w:t xml:space="preserve">                                                                 REZULTAT -    0,00 EUR</w:t>
      </w:r>
    </w:p>
    <w:p>
      <w:r>
        <w:t xml:space="preserve">Županijski rashodi realizirani su u potpunosti i pripadajući prihodi uplaćeni su do 31.12.2025. g.,</w:t>
      </w:r>
    </w:p>
    <w:p>
      <w:r>
        <w:t xml:space="preserve">te je rezultat 0,00 eura. Prihodi i rashodi odnose na nagrade učenicima i mentorima za ostvarene rezultate na Državnoj domijadi.</w:t>
      </w:r>
    </w:p>
    <w:p>
      <w:r>
        <w:t xml:space="preserve">IZVOR 50114 – PRIHODI OD UPLATA OD MZOM ZA DOBIVENA SREDSTVA ZA „AKTIVAN DOM - ZDRAVO TIJELO, ZDRAVI UM“ I ZA PDS :</w:t>
      </w:r>
    </w:p>
    <w:p>
      <w:r>
        <w:t xml:space="preserve">                                                                  PRIHODI – 3.630,00 EUR</w:t>
      </w:r>
    </w:p>
    <w:p>
      <w:r>
        <w:t xml:space="preserve">                                                                   RASHODI – 0,00 EUR</w:t>
      </w:r>
    </w:p>
    <w:p>
      <w:r>
        <w:t xml:space="preserve">                                                                    VIŠAK       – 3.630,00 EURA</w:t>
      </w:r>
    </w:p>
    <w:p>
      <w:r>
        <w:t xml:space="preserve">Sredstva za navedeni projekt i PDS, doznačena su nam dana 31.12.2025. g., te nisu mogla biti realizirana u 2025. g., pa se višak prenosi u 2026. g.</w:t>
      </w:r>
    </w:p>
    <w:p>
      <w:r>
        <w:t xml:space="preserve">IZVOR 56 – FONDOVI EU</w:t>
      </w:r>
    </w:p>
    <w:p>
      <w:r>
        <w:t xml:space="preserve">                                                                  PRIHODI –           0,00 EUR</w:t>
      </w:r>
    </w:p>
    <w:p>
      <w:r>
        <w:t xml:space="preserve">                                                                   RASHODI – 35.124,22 EUR</w:t>
      </w:r>
    </w:p>
    <w:p>
      <w:r>
        <w:t xml:space="preserve">                                                                    MANJAK   - 35.124,22 EUR       </w:t>
      </w:r>
    </w:p>
    <w:p>
      <w:r>
        <w:t xml:space="preserve">  Uplaćena su nam sredstva za Erasmus projekt, u iznosu od 37.831,20  eura, koja smo po novim uputama za evidentiranje Eu projekata, preknjižili sa prihoda na avanse. Prihode ćemo priznati po prihvaćenom izvješću, a kako je projekt realiziran u 08/2025. g., realni troškovi rezultirali su iskazanim manjkom prihoda nad rashodima, u iznosu od 35.124,22 eura                                                    </w:t>
      </w:r>
    </w:p>
    <w:p>
      <w:r>
        <w:t xml:space="preserve"> </w:t>
      </w:r>
    </w:p>
    <w:p>
      <w:r>
        <w:t xml:space="preserve">                                                     SVEUKUPNO: PRIHODI – 1.101.238,77 EUR</w:t>
      </w:r>
    </w:p>
    <w:p>
      <w:r>
        <w:t xml:space="preserve">                                                                         RASHODI –  1.085.635,78 EUR </w:t>
      </w:r>
    </w:p>
    <w:p>
      <w:r>
        <w:t xml:space="preserve">                                                                        MANJAK    -       84.397,01 EUR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 plaći za 11/25 i konačnom obračunu poreza za zaposlenike, utvrđena je obaveza povrata poreza po gradovima Duga Resa i Slunj, u iznosu od 1.180,08 eura.  Povrat je prijavljen Poreznoj upravi preko SNU obrasca i izvršen je dana 13.01.2026. 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  Uplaćena su nam sredstva za Erasmus projekt, u iznosu od 37.831,20  eura, koja smo po novim uputama za evidentiranje Eu projekata, preknjižili sa prihoda na avanse. Prihode ćemo priznati po prihvaćenom izvješću, a kako je projekt realiziran u 08/2025. g., realni troškovi rezultirali su iskazanim manjkom prihoda nad rashodima, u iznosu od 35.124,22 eura.                                                   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2506fe21fb4afa" /><Relationship Type="http://schemas.openxmlformats.org/officeDocument/2006/relationships/numbering" Target="/word/numbering.xml" Id="Rd66f4a9c904648c9" /></Relationships>
</file>